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88</w:t>
      </w:r>
    </w:p>
    <w:p>
      <w:r>
        <w:t>Bundesgericht (BGE), 1972-05-02, DE</w:t>
      </w:r>
    </w:p>
    <w:p>
      <w:r>
        <w:rPr>
          <w:b/>
        </w:rPr>
        <w:t xml:space="preserve">Quelle: </w:t>
      </w:r>
      <w:r>
        <w:t>https://mcp.opencaselaw.ch/entscheid/bge_98 V 88</w:t>
      </w:r>
    </w:p>
    <w:p>
      <w:r>
        <w:t>FR: ATF 98 V 88</w:t>
      </w:r>
    </w:p>
    <w:p>
      <w:r>
        <w:t>IT: DTF 98 V 88</w:t>
      </w:r>
    </w:p>
    <w:p>
      <w:pPr>
        <w:pStyle w:val="Heading2"/>
      </w:pPr>
      <w:r>
        <w:t>Regeste</w:t>
      </w:r>
    </w:p>
    <w:p>
      <w:r>
        <w:t>Regeste Art. 4 AHVG: Beitragspflicht. Begriff des gewerbsmässigen Liegenschaftenhandels.</w:t>
      </w:r>
    </w:p>
    <w:p>
      <w:pPr>
        <w:pStyle w:val="Heading2"/>
      </w:pPr>
      <w:r>
        <w:t>Erwägungen</w:t>
      </w:r>
    </w:p>
    <w:p>
      <w:r>
        <w:rPr>
          <w:b/>
        </w:rPr>
        <w:t>E. 1</w:t>
      </w:r>
    </w:p>
    <w:p>
      <w:r>
        <w:t>Als Einkommen aus selbständiger Erwerbstätigkeit, von dem Sozialversicherungsbeiträge entrichtet werden müssen, gilt u.a. das in selbständiger Stellung erzielte Einkommen aus Handel und Gewerbe ( Art. 17 AHVV ). Wie sich aus Art. 23 Abs. 1 AHVV ergibt, hat die Ermittlung des massgebenden Einkommens grundsätzlich nach den gleichen Kriterien zu erfolgen wie bei der Wehrsteuerveranlagung. Erwerbseinkommen im Sinn von Art. 21 Abs. 1 lit. a WStB ist der durch Veräusserung eines Grundstücks erzielte Gewinn dann, wenn er im Rahmen einer (haupt- oder nebenberuflichen) Erwerbstätigkeit erzielt wird. Nicht Erwerbseinkommen, sondern Vermögenszuwachs bildet ein solcher Gewinn nur dann, wenn er als Folge der ordentlichen Vermögensverwaltung oder einer sich zufällig bietenden Gelegenheit anfällt (Archiv für Schweizerisches Abgaberecht Bd. 37, S. 153, und Bd. 38, S. 395, BGE 96 I 658 Erw. 1). Die Annahme, dass ein beim Verkauf einer Liegenschaft erlangter Gewinn einer Erwerbstätigkeit entspringt, kann sich aus der Häufung von Grundstückkäufen und -verkäufen oder aus andern Umständen ergeben, insbesondere aus dem Zusammenhang mit einer selbständigen Berufstätigkeit des BGE 98 V 88 S. 90 Beitragspflichtigen als Architekt, Baumeister, Gipsermeister oder als Erwerbstätiger in ähnlichen Berufen. Sie ist auch bei vereinzelten Verkäufen, die nicht mit einer derartigen Betätigung des Steuersubjektes zusammenhängen, nicht ausgeschlossen. In solchen Fällen ist sie nach der bundesgerichtlichen Rechtsprechung gerechtfertigt, wenn der Gewinn auf einer Tätigkeit des Steuerpflichtigen beruht, die nach Art und Umfang dem Vorgehen eines Liegenschaftenhändlers gleichgestellt werden kann. Wie das Bundesgericht entschieden hat, kann auf Erwerbstätigkeit z.B. allein schon daraus geschlossen werden, dass der Steuerpflichtige für ein bestimmtes Grundstückgeschäft in einer einfachen Gesellschaft sich mit einer Person verbindet, die sich in Ausübung ihres Berufes beteiligt und die Geschäftsführung für gemeinsame Rechnung im Einvernehmen mit ihm besorgt ( BGE 93 I 288 sowie BGE 96 I 658 Erw. 2 und 664). Die Gewerbsmässigkeit kann sich auch aus der Inanspruchnahme bedeutender fremder Gelder und aus der Investition der Gewinne in neuem Grundbesitz ergeben ( BGE 92 I 122 ). - Vgl. EVGE 1960 S. 200 und 1963 S. 27.</w:t>
      </w:r>
    </w:p>
    <w:p>
      <w:r>
        <w:rPr>
          <w:b/>
        </w:rPr>
        <w:t>E. 2</w:t>
      </w:r>
    </w:p>
    <w:p>
      <w:r>
        <w:t>Der Beschwerdeführer tätigte in den Jahren 1967 und 1968 in verschiedenen Gemeinden sieben Liegenschaftskäufe bzw. -verkäufe, die ihm einen Gewinn von insgesamt ... Franken einbrachten. Diese Liegenschaftstransaktionen nahm Karl Brigger, Inhaber eines Malergeschäftes, jedenfalls teilweise als Mitglied von Baukonsortien vor, in denen er selber aktiv tätig war. Aus seiner Steuererklärung ergibt sich, dass die Geschäfte überwiegend mit fremden Geldern finanziert worden sind. Die Häufigkeit der Liegenschaftskäufe und -verkäufe innert zwei Jahren, die massive Investition fremden Kapitals und die Beteiligung des hauptberuflich selber in der Baubranche tätigen Beschwerdeführers an Baukonsortien, welche zum Teil die Liegenschaftstransaktionen vorgenommen haben, lassen auf gewerbsmässigen Liegenschaftenhandel schliessen. Karl Brigger schuldet daher die Sozialversicherungsbeiträge auch auf den Liegenschaftsgewinnen. Demzufolge hat es beim Entscheid des kantonalen Versicherungsgerichts sein Bewenden.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